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6C650F51" w:rsidR="0051383B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DD62E6" w14:paraId="76DD000D" w14:textId="77777777" w:rsidTr="00284A6D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241" w14:textId="77777777" w:rsidR="00DD62E6" w:rsidRPr="00DD62E6" w:rsidRDefault="00DD62E6" w:rsidP="00DD62E6">
            <w:pPr>
              <w:pStyle w:val="ListParagraph"/>
              <w:numPr>
                <w:ilvl w:val="0"/>
                <w:numId w:val="19"/>
              </w:numPr>
              <w:spacing w:before="120" w:after="120" w:line="360" w:lineRule="auto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DD62E6">
              <w:rPr>
                <w:rFonts w:cs="Arial"/>
                <w:bCs/>
                <w:sz w:val="18"/>
                <w:szCs w:val="18"/>
              </w:rPr>
              <w:lastRenderedPageBreak/>
              <w:t xml:space="preserve">This policy was adopted at </w:t>
            </w:r>
            <w:proofErr w:type="gramStart"/>
            <w:r w:rsidRPr="00DD62E6">
              <w:rPr>
                <w:rFonts w:cs="Arial"/>
                <w:bCs/>
                <w:sz w:val="18"/>
                <w:szCs w:val="18"/>
              </w:rPr>
              <w:t>a  meeting</w:t>
            </w:r>
            <w:proofErr w:type="gramEnd"/>
            <w:r w:rsidRPr="00DD62E6">
              <w:rPr>
                <w:rFonts w:cs="Arial"/>
                <w:bCs/>
                <w:sz w:val="18"/>
                <w:szCs w:val="18"/>
              </w:rPr>
              <w:t xml:space="preserve"> of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2CD1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Downtown Community Preschool </w:t>
            </w:r>
          </w:p>
        </w:tc>
      </w:tr>
      <w:tr w:rsidR="00DD62E6" w14:paraId="121E16F7" w14:textId="77777777" w:rsidTr="00284A6D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06C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Held 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FB7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August 2021 </w:t>
            </w:r>
          </w:p>
        </w:tc>
      </w:tr>
      <w:tr w:rsidR="00DD62E6" w14:paraId="7F995885" w14:textId="77777777" w:rsidTr="00284A6D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026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Date to be reviewed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310C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August 2022</w:t>
            </w:r>
          </w:p>
        </w:tc>
      </w:tr>
      <w:tr w:rsidR="00DD62E6" w14:paraId="771B8B26" w14:textId="77777777" w:rsidTr="00284A6D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EB3D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Signed on behalf of the provider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65FD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S. Peacock </w:t>
            </w:r>
          </w:p>
        </w:tc>
      </w:tr>
      <w:tr w:rsidR="00DD62E6" w14:paraId="31510FED" w14:textId="77777777" w:rsidTr="00284A6D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4C0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Name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502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Sam Peacock </w:t>
            </w:r>
          </w:p>
        </w:tc>
      </w:tr>
      <w:tr w:rsidR="00DD62E6" w14:paraId="0F4704C1" w14:textId="77777777" w:rsidTr="00284A6D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B48B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Role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E9DF" w14:textId="77777777" w:rsidR="00DD62E6" w:rsidRDefault="00DD62E6" w:rsidP="00284A6D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Chair </w:t>
            </w:r>
          </w:p>
        </w:tc>
      </w:tr>
    </w:tbl>
    <w:p w14:paraId="7C0997AC" w14:textId="77777777" w:rsidR="00DD62E6" w:rsidRPr="00CB3950" w:rsidRDefault="00DD62E6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sectPr w:rsidR="00DD62E6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9835" w14:textId="77777777" w:rsidR="00EB742C" w:rsidRDefault="00EB742C">
      <w:r>
        <w:separator/>
      </w:r>
    </w:p>
  </w:endnote>
  <w:endnote w:type="continuationSeparator" w:id="0">
    <w:p w14:paraId="56979701" w14:textId="77777777" w:rsidR="00EB742C" w:rsidRDefault="00EB742C">
      <w:r>
        <w:continuationSeparator/>
      </w:r>
    </w:p>
  </w:endnote>
  <w:endnote w:type="continuationNotice" w:id="1">
    <w:p w14:paraId="6DE3A4D6" w14:textId="77777777" w:rsidR="00EB742C" w:rsidRDefault="00EB7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069D" w14:textId="77777777" w:rsidR="00EB742C" w:rsidRDefault="00EB742C">
      <w:r>
        <w:separator/>
      </w:r>
    </w:p>
  </w:footnote>
  <w:footnote w:type="continuationSeparator" w:id="0">
    <w:p w14:paraId="377F9CBE" w14:textId="77777777" w:rsidR="00EB742C" w:rsidRDefault="00EB742C">
      <w:r>
        <w:continuationSeparator/>
      </w:r>
    </w:p>
  </w:footnote>
  <w:footnote w:type="continuationNotice" w:id="1">
    <w:p w14:paraId="46A38E03" w14:textId="77777777" w:rsidR="00EB742C" w:rsidRDefault="00EB7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2E6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B742C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admin@downtonpreschool.co.uk</cp:lastModifiedBy>
  <cp:revision>6</cp:revision>
  <cp:lastPrinted>2021-08-10T13:14:00Z</cp:lastPrinted>
  <dcterms:created xsi:type="dcterms:W3CDTF">2021-07-21T15:28:00Z</dcterms:created>
  <dcterms:modified xsi:type="dcterms:W3CDTF">2021-08-10T13:16:00Z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