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proofErr w:type="gramStart"/>
      <w:r w:rsidR="009E1B45" w:rsidRPr="007B3F70">
        <w:rPr>
          <w:rFonts w:ascii="Arial" w:hAnsi="Arial" w:cs="Arial"/>
          <w:b/>
          <w:bCs/>
          <w:sz w:val="28"/>
          <w:szCs w:val="28"/>
        </w:rPr>
        <w:t>outings</w:t>
      </w:r>
      <w:proofErr w:type="gramEnd"/>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31B9C5CA" w14:textId="6199CFC5" w:rsidR="009045F5" w:rsidRPr="00017387" w:rsidRDefault="00C113CD"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If staff are </w:t>
      </w:r>
      <w:r w:rsidR="009045F5" w:rsidRPr="00017387">
        <w:rPr>
          <w:rFonts w:ascii="Arial" w:hAnsi="Arial" w:cs="Arial"/>
          <w:sz w:val="22"/>
          <w:szCs w:val="22"/>
        </w:rPr>
        <w:t>‘borrowed’ from another area to maintain ratios on a</w:t>
      </w:r>
      <w:r w:rsidR="007124E0">
        <w:rPr>
          <w:rFonts w:ascii="Arial" w:hAnsi="Arial" w:cs="Arial"/>
          <w:sz w:val="22"/>
          <w:szCs w:val="22"/>
        </w:rPr>
        <w:t>n outing</w:t>
      </w:r>
      <w:r w:rsidR="009045F5" w:rsidRPr="00017387">
        <w:rPr>
          <w:rFonts w:ascii="Arial" w:hAnsi="Arial" w:cs="Arial"/>
          <w:sz w:val="22"/>
          <w:szCs w:val="22"/>
        </w:rPr>
        <w:t xml:space="preserve"> they are fully briefed about the </w:t>
      </w:r>
      <w:proofErr w:type="gramStart"/>
      <w:r w:rsidR="009045F5" w:rsidRPr="00017387">
        <w:rPr>
          <w:rFonts w:ascii="Arial" w:hAnsi="Arial" w:cs="Arial"/>
          <w:sz w:val="22"/>
          <w:szCs w:val="22"/>
        </w:rPr>
        <w:t>children</w:t>
      </w:r>
      <w:proofErr w:type="gramEnd"/>
      <w:r w:rsidR="009045F5" w:rsidRPr="00017387">
        <w:rPr>
          <w:rFonts w:ascii="Arial" w:hAnsi="Arial" w:cs="Arial"/>
          <w:sz w:val="22"/>
          <w:szCs w:val="22"/>
        </w:rPr>
        <w:t xml:space="preserve"> they are </w:t>
      </w:r>
      <w:r w:rsidR="003043B2" w:rsidRPr="00017387">
        <w:rPr>
          <w:rFonts w:ascii="Arial" w:hAnsi="Arial" w:cs="Arial"/>
          <w:sz w:val="22"/>
          <w:szCs w:val="22"/>
        </w:rPr>
        <w:t>accompanying</w:t>
      </w:r>
      <w:r w:rsidR="00D3134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3F52361A"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A minimum of two staff </w:t>
      </w:r>
      <w:proofErr w:type="gramStart"/>
      <w:r w:rsidRPr="00017387">
        <w:rPr>
          <w:rFonts w:ascii="Arial" w:hAnsi="Arial" w:cs="Arial"/>
          <w:sz w:val="22"/>
          <w:szCs w:val="22"/>
        </w:rPr>
        <w:t>accompany</w:t>
      </w:r>
      <w:proofErr w:type="gramEnd"/>
      <w:r w:rsidRPr="00017387">
        <w:rPr>
          <w:rFonts w:ascii="Arial" w:hAnsi="Arial" w:cs="Arial"/>
          <w:sz w:val="22"/>
          <w:szCs w:val="22"/>
        </w:rPr>
        <w:t xml:space="preserve">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babies in buggies,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2A062C37" w14:textId="77777777" w:rsidR="002962AB"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designated lead </w:t>
      </w:r>
      <w:r w:rsidR="003043B2" w:rsidRPr="00017387">
        <w:rPr>
          <w:rFonts w:ascii="Arial" w:hAnsi="Arial" w:cs="Arial"/>
          <w:sz w:val="22"/>
          <w:szCs w:val="22"/>
        </w:rPr>
        <w:t xml:space="preserve">for the outing has responsibility for only one child. </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1DA585E1"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badges or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lastRenderedPageBreak/>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14F8AAC9" w14:textId="4DAE4EE1"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14:paraId="561644E3" w14:textId="77777777"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DA1B58" w:rsidRPr="00C748AE">
        <w:rPr>
          <w:rFonts w:ascii="Arial" w:hAnsi="Arial" w:cs="Arial"/>
          <w:sz w:val="22"/>
          <w:szCs w:val="22"/>
        </w:rPr>
        <w:t xml:space="preserve"> and Forest/Beach 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0F4E9E29"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a level 3 trained forest school or beach school practitioner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 xml:space="preserve">Staff are aware of the risks posed by infections such as </w:t>
      </w:r>
      <w:proofErr w:type="gramStart"/>
      <w:r w:rsidRPr="00EC5A4D">
        <w:rPr>
          <w:rFonts w:ascii="Arial" w:hAnsi="Arial" w:cs="Arial"/>
          <w:sz w:val="22"/>
          <w:szCs w:val="22"/>
        </w:rPr>
        <w:t>E.coli</w:t>
      </w:r>
      <w:proofErr w:type="gramEnd"/>
      <w:r w:rsidRPr="00EC5A4D">
        <w:rPr>
          <w:rFonts w:ascii="Arial" w:hAnsi="Arial"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lastRenderedPageBreak/>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657886AD"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608E7075" w:rsidR="00783C37" w:rsidRDefault="005F4850" w:rsidP="008A0DD0">
      <w:pPr>
        <w:spacing w:before="120" w:after="120" w:line="360" w:lineRule="auto"/>
        <w:rPr>
          <w:rFonts w:ascii="Arial" w:hAnsi="Arial" w:cs="Arial"/>
          <w:bCs/>
          <w:iCs/>
          <w:sz w:val="22"/>
          <w:szCs w:val="22"/>
          <w:lang w:val="en-US"/>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p w14:paraId="537D285F" w14:textId="0382A59F" w:rsidR="00BB70BA" w:rsidRDefault="00BB70BA" w:rsidP="008A0DD0">
      <w:pPr>
        <w:spacing w:before="120" w:after="120" w:line="360" w:lineRule="auto"/>
        <w:rPr>
          <w:rFonts w:ascii="Arial" w:hAnsi="Arial" w:cs="Arial"/>
          <w:bCs/>
          <w:iCs/>
          <w:sz w:val="22"/>
          <w:szCs w:val="22"/>
          <w:lang w:val="en-US"/>
        </w:rPr>
      </w:pPr>
    </w:p>
    <w:tbl>
      <w:tblPr>
        <w:tblStyle w:val="TableGrid"/>
        <w:tblW w:w="0" w:type="auto"/>
        <w:tblLook w:val="04A0" w:firstRow="1" w:lastRow="0" w:firstColumn="1" w:lastColumn="0" w:noHBand="0" w:noVBand="1"/>
      </w:tblPr>
      <w:tblGrid>
        <w:gridCol w:w="5228"/>
        <w:gridCol w:w="5228"/>
      </w:tblGrid>
      <w:tr w:rsidR="00BB70BA" w14:paraId="43DC6E18" w14:textId="77777777" w:rsidTr="00B816DA">
        <w:tc>
          <w:tcPr>
            <w:tcW w:w="5228" w:type="dxa"/>
          </w:tcPr>
          <w:p w14:paraId="76DF66F7" w14:textId="77777777" w:rsidR="00BB70BA" w:rsidRDefault="00BB70BA" w:rsidP="00B816DA">
            <w:pPr>
              <w:spacing w:before="120" w:after="120" w:line="360" w:lineRule="auto"/>
              <w:rPr>
                <w:rFonts w:ascii="Arial" w:hAnsi="Arial" w:cs="Arial"/>
                <w:sz w:val="22"/>
                <w:szCs w:val="22"/>
              </w:rPr>
            </w:pPr>
            <w:r>
              <w:rPr>
                <w:rFonts w:ascii="Arial" w:hAnsi="Arial" w:cs="Arial"/>
                <w:sz w:val="22"/>
                <w:szCs w:val="22"/>
              </w:rPr>
              <w:t>This policy was adopted at a meeting of:</w:t>
            </w:r>
          </w:p>
        </w:tc>
        <w:tc>
          <w:tcPr>
            <w:tcW w:w="5228" w:type="dxa"/>
          </w:tcPr>
          <w:p w14:paraId="737E003F" w14:textId="77777777" w:rsidR="00BB70BA" w:rsidRDefault="00BB70BA" w:rsidP="00B816DA">
            <w:pPr>
              <w:spacing w:before="120" w:after="120" w:line="360" w:lineRule="auto"/>
              <w:rPr>
                <w:rFonts w:ascii="Arial" w:hAnsi="Arial" w:cs="Arial"/>
                <w:sz w:val="22"/>
                <w:szCs w:val="22"/>
              </w:rPr>
            </w:pPr>
            <w:r>
              <w:rPr>
                <w:rFonts w:ascii="Arial" w:hAnsi="Arial" w:cs="Arial"/>
                <w:sz w:val="22"/>
                <w:szCs w:val="22"/>
              </w:rPr>
              <w:t xml:space="preserve">Downton Community Pre </w:t>
            </w:r>
            <w:r>
              <w:rPr>
                <w:rFonts w:ascii="Arial" w:hAnsi="Arial" w:cs="Arial"/>
                <w:sz w:val="22"/>
                <w:szCs w:val="22"/>
              </w:rPr>
              <w:br/>
              <w:t xml:space="preserve">School </w:t>
            </w:r>
          </w:p>
        </w:tc>
      </w:tr>
      <w:tr w:rsidR="00BB70BA" w14:paraId="16244AFB" w14:textId="77777777" w:rsidTr="00B816DA">
        <w:tc>
          <w:tcPr>
            <w:tcW w:w="5228" w:type="dxa"/>
          </w:tcPr>
          <w:p w14:paraId="7A785646" w14:textId="77777777" w:rsidR="00BB70BA" w:rsidRDefault="00BB70BA" w:rsidP="00B816DA">
            <w:pPr>
              <w:spacing w:before="120" w:after="120" w:line="360" w:lineRule="auto"/>
              <w:rPr>
                <w:rFonts w:ascii="Arial" w:hAnsi="Arial" w:cs="Arial"/>
                <w:sz w:val="22"/>
                <w:szCs w:val="22"/>
              </w:rPr>
            </w:pPr>
            <w:r>
              <w:rPr>
                <w:rFonts w:ascii="Arial" w:hAnsi="Arial" w:cs="Arial"/>
                <w:sz w:val="22"/>
                <w:szCs w:val="22"/>
              </w:rPr>
              <w:t>Held on:</w:t>
            </w:r>
          </w:p>
        </w:tc>
        <w:tc>
          <w:tcPr>
            <w:tcW w:w="5228" w:type="dxa"/>
          </w:tcPr>
          <w:p w14:paraId="7592A72C" w14:textId="77777777" w:rsidR="00BB70BA" w:rsidRDefault="00BB70BA" w:rsidP="00B816DA">
            <w:pPr>
              <w:spacing w:before="120" w:after="120" w:line="360" w:lineRule="auto"/>
              <w:rPr>
                <w:rFonts w:ascii="Arial" w:hAnsi="Arial" w:cs="Arial"/>
                <w:sz w:val="22"/>
                <w:szCs w:val="22"/>
              </w:rPr>
            </w:pPr>
            <w:r>
              <w:rPr>
                <w:rFonts w:ascii="Arial" w:hAnsi="Arial" w:cs="Arial"/>
                <w:sz w:val="22"/>
                <w:szCs w:val="22"/>
              </w:rPr>
              <w:t>August 2021</w:t>
            </w:r>
          </w:p>
        </w:tc>
      </w:tr>
      <w:tr w:rsidR="00BB70BA" w14:paraId="7F370A83" w14:textId="77777777" w:rsidTr="00B816DA">
        <w:tc>
          <w:tcPr>
            <w:tcW w:w="5228" w:type="dxa"/>
          </w:tcPr>
          <w:p w14:paraId="095D4CBD" w14:textId="77777777" w:rsidR="00BB70BA" w:rsidRDefault="00BB70BA" w:rsidP="00B816DA">
            <w:pPr>
              <w:spacing w:before="120" w:after="120" w:line="360" w:lineRule="auto"/>
              <w:rPr>
                <w:rFonts w:ascii="Arial" w:hAnsi="Arial" w:cs="Arial"/>
                <w:sz w:val="22"/>
                <w:szCs w:val="22"/>
              </w:rPr>
            </w:pPr>
            <w:r>
              <w:rPr>
                <w:rFonts w:ascii="Arial" w:hAnsi="Arial" w:cs="Arial"/>
                <w:sz w:val="22"/>
                <w:szCs w:val="22"/>
              </w:rPr>
              <w:t>Date to be reviewed:</w:t>
            </w:r>
          </w:p>
        </w:tc>
        <w:tc>
          <w:tcPr>
            <w:tcW w:w="5228" w:type="dxa"/>
          </w:tcPr>
          <w:p w14:paraId="5B55A20F" w14:textId="77777777" w:rsidR="00BB70BA" w:rsidRDefault="00BB70BA" w:rsidP="00B816DA">
            <w:pPr>
              <w:spacing w:before="120" w:after="120" w:line="360" w:lineRule="auto"/>
              <w:rPr>
                <w:rFonts w:ascii="Arial" w:hAnsi="Arial" w:cs="Arial"/>
                <w:sz w:val="22"/>
                <w:szCs w:val="22"/>
              </w:rPr>
            </w:pPr>
            <w:r>
              <w:rPr>
                <w:rFonts w:ascii="Arial" w:hAnsi="Arial" w:cs="Arial"/>
                <w:sz w:val="22"/>
                <w:szCs w:val="22"/>
              </w:rPr>
              <w:t>August 2022</w:t>
            </w:r>
          </w:p>
        </w:tc>
      </w:tr>
      <w:tr w:rsidR="00BB70BA" w14:paraId="3CB8EAFA" w14:textId="77777777" w:rsidTr="00B816DA">
        <w:tc>
          <w:tcPr>
            <w:tcW w:w="5228" w:type="dxa"/>
          </w:tcPr>
          <w:p w14:paraId="7D9B4776" w14:textId="77777777" w:rsidR="00BB70BA" w:rsidRDefault="00BB70BA" w:rsidP="00B816DA">
            <w:pPr>
              <w:spacing w:before="120" w:after="120" w:line="360" w:lineRule="auto"/>
              <w:rPr>
                <w:rFonts w:ascii="Arial" w:hAnsi="Arial" w:cs="Arial"/>
                <w:sz w:val="22"/>
                <w:szCs w:val="22"/>
              </w:rPr>
            </w:pPr>
            <w:r>
              <w:rPr>
                <w:rFonts w:ascii="Arial" w:hAnsi="Arial" w:cs="Arial"/>
                <w:sz w:val="22"/>
                <w:szCs w:val="22"/>
              </w:rPr>
              <w:t>Signed on behalf of the management committee:</w:t>
            </w:r>
          </w:p>
        </w:tc>
        <w:tc>
          <w:tcPr>
            <w:tcW w:w="5228" w:type="dxa"/>
          </w:tcPr>
          <w:p w14:paraId="49116E15" w14:textId="77777777" w:rsidR="00BB70BA" w:rsidRDefault="00BB70BA" w:rsidP="00B816DA">
            <w:pPr>
              <w:spacing w:before="120" w:after="120" w:line="360" w:lineRule="auto"/>
              <w:rPr>
                <w:rFonts w:ascii="Arial" w:hAnsi="Arial" w:cs="Arial"/>
                <w:sz w:val="22"/>
                <w:szCs w:val="22"/>
              </w:rPr>
            </w:pPr>
            <w:r>
              <w:rPr>
                <w:rFonts w:ascii="Arial" w:hAnsi="Arial" w:cs="Arial"/>
                <w:sz w:val="22"/>
                <w:szCs w:val="22"/>
              </w:rPr>
              <w:t>S. Peacock</w:t>
            </w:r>
          </w:p>
        </w:tc>
      </w:tr>
      <w:tr w:rsidR="00BB70BA" w14:paraId="29BBEA8F" w14:textId="77777777" w:rsidTr="00B816DA">
        <w:tc>
          <w:tcPr>
            <w:tcW w:w="5228" w:type="dxa"/>
          </w:tcPr>
          <w:p w14:paraId="1D1B6060" w14:textId="77777777" w:rsidR="00BB70BA" w:rsidRDefault="00BB70BA" w:rsidP="00B816DA">
            <w:pPr>
              <w:spacing w:before="120" w:after="120" w:line="360" w:lineRule="auto"/>
              <w:rPr>
                <w:rFonts w:ascii="Arial" w:hAnsi="Arial" w:cs="Arial"/>
                <w:sz w:val="22"/>
                <w:szCs w:val="22"/>
              </w:rPr>
            </w:pPr>
            <w:r>
              <w:rPr>
                <w:rFonts w:ascii="Arial" w:hAnsi="Arial" w:cs="Arial"/>
                <w:sz w:val="22"/>
                <w:szCs w:val="22"/>
              </w:rPr>
              <w:t>Name of Signatory:</w:t>
            </w:r>
          </w:p>
        </w:tc>
        <w:tc>
          <w:tcPr>
            <w:tcW w:w="5228" w:type="dxa"/>
          </w:tcPr>
          <w:p w14:paraId="3E4CF766" w14:textId="77777777" w:rsidR="00BB70BA" w:rsidRDefault="00BB70BA" w:rsidP="00B816DA">
            <w:pPr>
              <w:spacing w:before="120" w:after="120" w:line="360" w:lineRule="auto"/>
              <w:rPr>
                <w:rFonts w:ascii="Arial" w:hAnsi="Arial" w:cs="Arial"/>
                <w:sz w:val="22"/>
                <w:szCs w:val="22"/>
              </w:rPr>
            </w:pPr>
            <w:r>
              <w:rPr>
                <w:rFonts w:ascii="Arial" w:hAnsi="Arial" w:cs="Arial"/>
                <w:sz w:val="22"/>
                <w:szCs w:val="22"/>
              </w:rPr>
              <w:t>Samantha Peacock</w:t>
            </w:r>
          </w:p>
        </w:tc>
      </w:tr>
      <w:tr w:rsidR="00BB70BA" w14:paraId="39536B57" w14:textId="77777777" w:rsidTr="00B816DA">
        <w:tc>
          <w:tcPr>
            <w:tcW w:w="5228" w:type="dxa"/>
          </w:tcPr>
          <w:p w14:paraId="29223602" w14:textId="77777777" w:rsidR="00BB70BA" w:rsidRDefault="00BB70BA" w:rsidP="00B816DA">
            <w:pPr>
              <w:spacing w:before="120" w:after="120" w:line="360" w:lineRule="auto"/>
              <w:rPr>
                <w:rFonts w:ascii="Arial" w:hAnsi="Arial" w:cs="Arial"/>
                <w:sz w:val="22"/>
                <w:szCs w:val="22"/>
              </w:rPr>
            </w:pPr>
            <w:r>
              <w:rPr>
                <w:rFonts w:ascii="Arial" w:hAnsi="Arial" w:cs="Arial"/>
                <w:sz w:val="22"/>
                <w:szCs w:val="22"/>
              </w:rPr>
              <w:t>Role of signatory:</w:t>
            </w:r>
          </w:p>
        </w:tc>
        <w:tc>
          <w:tcPr>
            <w:tcW w:w="5228" w:type="dxa"/>
          </w:tcPr>
          <w:p w14:paraId="207EBE33" w14:textId="77777777" w:rsidR="00BB70BA" w:rsidRDefault="00BB70BA" w:rsidP="00B816DA">
            <w:pPr>
              <w:spacing w:before="120" w:after="120" w:line="360" w:lineRule="auto"/>
              <w:rPr>
                <w:rFonts w:ascii="Arial" w:hAnsi="Arial" w:cs="Arial"/>
                <w:sz w:val="22"/>
                <w:szCs w:val="22"/>
              </w:rPr>
            </w:pPr>
            <w:r>
              <w:rPr>
                <w:rFonts w:ascii="Arial" w:hAnsi="Arial" w:cs="Arial"/>
                <w:sz w:val="22"/>
                <w:szCs w:val="22"/>
              </w:rPr>
              <w:t xml:space="preserve">Chair </w:t>
            </w:r>
          </w:p>
        </w:tc>
      </w:tr>
    </w:tbl>
    <w:p w14:paraId="461887D3" w14:textId="77777777" w:rsidR="00BB70BA" w:rsidRPr="0005103D" w:rsidRDefault="00BB70BA" w:rsidP="008A0DD0">
      <w:pPr>
        <w:spacing w:before="120" w:after="120" w:line="360" w:lineRule="auto"/>
        <w:rPr>
          <w:rFonts w:ascii="Arial" w:hAnsi="Arial" w:cs="Arial"/>
          <w:bCs/>
          <w:sz w:val="22"/>
          <w:szCs w:val="22"/>
        </w:rPr>
      </w:pPr>
    </w:p>
    <w:sectPr w:rsidR="00BB70BA" w:rsidRPr="0005103D" w:rsidSect="008A0DD0">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8BE14" w14:textId="77777777" w:rsidR="00A968D2" w:rsidRDefault="00A968D2">
      <w:r>
        <w:separator/>
      </w:r>
    </w:p>
  </w:endnote>
  <w:endnote w:type="continuationSeparator" w:id="0">
    <w:p w14:paraId="515873AD" w14:textId="77777777" w:rsidR="00A968D2" w:rsidRDefault="00A968D2">
      <w:r>
        <w:continuationSeparator/>
      </w:r>
    </w:p>
  </w:endnote>
  <w:endnote w:type="continuationNotice" w:id="1">
    <w:p w14:paraId="3402B334" w14:textId="77777777" w:rsidR="00A968D2" w:rsidRDefault="00A96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A8A7" w14:textId="77777777" w:rsidR="00A968D2" w:rsidRDefault="00A968D2">
      <w:r>
        <w:separator/>
      </w:r>
    </w:p>
  </w:footnote>
  <w:footnote w:type="continuationSeparator" w:id="0">
    <w:p w14:paraId="6E2D97D5" w14:textId="77777777" w:rsidR="00A968D2" w:rsidRDefault="00A968D2">
      <w:r>
        <w:continuationSeparator/>
      </w:r>
    </w:p>
  </w:footnote>
  <w:footnote w:type="continuationNotice" w:id="1">
    <w:p w14:paraId="73D1AB05" w14:textId="77777777" w:rsidR="00A968D2" w:rsidRDefault="00A968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8D2"/>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B70BA"/>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Rebecca Lanham</cp:lastModifiedBy>
  <cp:revision>4</cp:revision>
  <cp:lastPrinted>2021-08-09T10:57:00Z</cp:lastPrinted>
  <dcterms:created xsi:type="dcterms:W3CDTF">2021-07-21T14:08:00Z</dcterms:created>
  <dcterms:modified xsi:type="dcterms:W3CDTF">2021-08-09T10:57:00Z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